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422"/>
        <w:gridCol w:w="4149"/>
      </w:tblGrid>
      <w:tr w:rsidR="00C3506E" w:rsidRPr="00DC58B0" w:rsidTr="00AC76D9">
        <w:tc>
          <w:tcPr>
            <w:tcW w:w="5422" w:type="dxa"/>
          </w:tcPr>
          <w:p w:rsidR="00C3506E" w:rsidRPr="00DC58B0" w:rsidRDefault="00C3506E" w:rsidP="00AC76D9">
            <w:pPr>
              <w:spacing w:line="240" w:lineRule="exact"/>
              <w:ind w:firstLine="284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</w:tcPr>
          <w:p w:rsidR="00C3506E" w:rsidRPr="00DC58B0" w:rsidRDefault="00C3506E" w:rsidP="00AC76D9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DC58B0">
              <w:rPr>
                <w:bCs/>
                <w:sz w:val="24"/>
                <w:szCs w:val="24"/>
                <w:lang w:eastAsia="en-US"/>
              </w:rPr>
              <w:t>ПРИЛОЖЕНИЕ 4</w:t>
            </w:r>
          </w:p>
          <w:p w:rsidR="00C3506E" w:rsidRPr="00DC58B0" w:rsidRDefault="00C3506E" w:rsidP="00AC76D9">
            <w:pPr>
              <w:spacing w:line="240" w:lineRule="exact"/>
              <w:ind w:left="158"/>
              <w:rPr>
                <w:bCs/>
                <w:sz w:val="24"/>
                <w:szCs w:val="24"/>
                <w:lang w:eastAsia="en-US"/>
              </w:rPr>
            </w:pPr>
          </w:p>
          <w:p w:rsidR="00C3506E" w:rsidRPr="00DC58B0" w:rsidRDefault="00C3506E" w:rsidP="00AC76D9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DC58B0">
              <w:rPr>
                <w:bCs/>
                <w:sz w:val="24"/>
                <w:szCs w:val="24"/>
                <w:lang w:eastAsia="en-US"/>
              </w:rPr>
              <w:t xml:space="preserve">к Инструкции </w:t>
            </w:r>
            <w:r w:rsidRPr="00DC58B0">
              <w:rPr>
                <w:sz w:val="24"/>
                <w:szCs w:val="24"/>
              </w:rPr>
              <w:t xml:space="preserve">по организации и проведению итогового собеседования по русскому языку </w:t>
            </w:r>
            <w:r w:rsidRPr="00DC58B0">
              <w:rPr>
                <w:sz w:val="24"/>
                <w:szCs w:val="24"/>
                <w:lang w:eastAsia="en-US"/>
              </w:rPr>
              <w:t>в Волгоградской области в 2019 году</w:t>
            </w:r>
          </w:p>
        </w:tc>
      </w:tr>
    </w:tbl>
    <w:p w:rsidR="00DC58B0" w:rsidRDefault="00DC58B0" w:rsidP="00DC58B0">
      <w:pPr>
        <w:pStyle w:val="1"/>
      </w:pPr>
      <w:bookmarkStart w:id="0" w:name="_Toc533867079"/>
    </w:p>
    <w:p w:rsidR="00C3506E" w:rsidRPr="00DC58B0" w:rsidRDefault="00C3506E" w:rsidP="00DC58B0">
      <w:pPr>
        <w:pStyle w:val="1"/>
      </w:pPr>
      <w:r w:rsidRPr="00DC58B0">
        <w:t>Инструкция для эксперта</w:t>
      </w:r>
      <w:bookmarkEnd w:id="0"/>
      <w:r w:rsidRPr="00DC58B0">
        <w:t xml:space="preserve"> по проверке ответов участников итогового собеседования</w:t>
      </w:r>
    </w:p>
    <w:p w:rsidR="00C3506E" w:rsidRPr="00DC58B0" w:rsidRDefault="00C3506E" w:rsidP="00C3506E">
      <w:pPr>
        <w:ind w:firstLine="708"/>
        <w:jc w:val="both"/>
        <w:rPr>
          <w:sz w:val="24"/>
          <w:szCs w:val="24"/>
        </w:rPr>
      </w:pPr>
      <w:r w:rsidRPr="00DC58B0">
        <w:rPr>
          <w:sz w:val="24"/>
          <w:szCs w:val="24"/>
        </w:rPr>
        <w:t xml:space="preserve">1. Эксперт по проверке ответов участников итогового собеседования (далее именуется – эксперт) не </w:t>
      </w:r>
      <w:proofErr w:type="gramStart"/>
      <w:r w:rsidRPr="00DC58B0">
        <w:rPr>
          <w:sz w:val="24"/>
          <w:szCs w:val="24"/>
        </w:rPr>
        <w:t>позднее</w:t>
      </w:r>
      <w:proofErr w:type="gramEnd"/>
      <w:r w:rsidRPr="00DC58B0">
        <w:rPr>
          <w:sz w:val="24"/>
          <w:szCs w:val="24"/>
        </w:rPr>
        <w:t xml:space="preserve"> чем за день до проведения итогового собеседования знакомится с:</w:t>
      </w:r>
    </w:p>
    <w:p w:rsidR="00C3506E" w:rsidRPr="00DC58B0" w:rsidRDefault="00C3506E" w:rsidP="00C3506E">
      <w:pPr>
        <w:ind w:firstLine="708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демоверсиями материалов для проведения итогового собеседования, размещенными на официальном сайте Федерального государственного бюджетного научного учреждения "Федеральный институт педагогических измерений" (</w:t>
      </w:r>
      <w:proofErr w:type="spellStart"/>
      <w:r w:rsidRPr="00DC58B0">
        <w:rPr>
          <w:sz w:val="24"/>
          <w:szCs w:val="24"/>
          <w:lang w:val="en-US"/>
        </w:rPr>
        <w:t>fipi</w:t>
      </w:r>
      <w:proofErr w:type="spellEnd"/>
      <w:r w:rsidRPr="00DC58B0">
        <w:rPr>
          <w:sz w:val="24"/>
          <w:szCs w:val="24"/>
        </w:rPr>
        <w:t>.</w:t>
      </w:r>
      <w:proofErr w:type="spellStart"/>
      <w:r w:rsidRPr="00DC58B0">
        <w:rPr>
          <w:sz w:val="24"/>
          <w:szCs w:val="24"/>
          <w:lang w:val="en-US"/>
        </w:rPr>
        <w:t>ru</w:t>
      </w:r>
      <w:proofErr w:type="spellEnd"/>
      <w:r w:rsidRPr="00DC58B0">
        <w:rPr>
          <w:sz w:val="24"/>
          <w:szCs w:val="24"/>
        </w:rPr>
        <w:t>),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C3506E" w:rsidRPr="00DC58B0" w:rsidRDefault="00C3506E" w:rsidP="00C3506E">
      <w:pPr>
        <w:ind w:firstLine="708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порядком проведения и проверки итогового собеседования, определенным комитетом образования, науки и молодежной политики Волгоградской области;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настоящей инструкцией для эксперта по проверке ответов участников итогового собеседования.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2. Эксперт в день проведения итогового собеседования: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 xml:space="preserve">получает от ответственного организатора образовательной организации следующие материалы: 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протокол эксперта по оцениванию ответов участников итогового собеседования;</w:t>
      </w:r>
    </w:p>
    <w:p w:rsidR="00C3506E" w:rsidRPr="00DC58B0" w:rsidRDefault="00C3506E" w:rsidP="00C3506E">
      <w:pPr>
        <w:ind w:firstLine="710"/>
        <w:jc w:val="both"/>
        <w:rPr>
          <w:rStyle w:val="a3"/>
          <w:sz w:val="24"/>
          <w:szCs w:val="24"/>
        </w:rPr>
      </w:pPr>
      <w:r w:rsidRPr="00DC58B0">
        <w:rPr>
          <w:sz w:val="24"/>
          <w:szCs w:val="24"/>
        </w:rPr>
        <w:t>контрольные - измерительные материалы итогового собеседования (далее именуется – КИМ итогового собеседования)</w:t>
      </w:r>
      <w:r w:rsidRPr="00DC58B0">
        <w:rPr>
          <w:rStyle w:val="a3"/>
          <w:sz w:val="24"/>
          <w:szCs w:val="24"/>
        </w:rPr>
        <w:t>;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rStyle w:val="a3"/>
          <w:sz w:val="24"/>
          <w:szCs w:val="24"/>
        </w:rPr>
        <w:t xml:space="preserve">доставочный пакет для упаковки протоколов эксперта </w:t>
      </w:r>
      <w:r w:rsidRPr="00DC58B0">
        <w:rPr>
          <w:sz w:val="24"/>
          <w:szCs w:val="24"/>
        </w:rPr>
        <w:t>по оцениванию ответов участников итогового собеседования.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знакомится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3. Эксперт во время проведения итогового собеседования: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оценивает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комитетом образования, науки и молодежной политики Волгоградской области);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вносит в протокол эксперта по оцениванию ответов участников итогового собеседования следующие сведения: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ФИО участника;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номер варианта;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номер аудитории;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баллы по каждому критерию оценивания;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общее количество баллов;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отметку "зачет"/ "незачет";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ФИО, подпись и дату проверки.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4. Эксперт 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>5. Эксперт не имеет права вмешиваться в беседу участника и экзаменатора-собеседника!</w:t>
      </w:r>
    </w:p>
    <w:p w:rsidR="00C3506E" w:rsidRPr="00DC58B0" w:rsidRDefault="00C3506E" w:rsidP="00C3506E">
      <w:pPr>
        <w:ind w:firstLine="710"/>
        <w:jc w:val="both"/>
        <w:rPr>
          <w:sz w:val="24"/>
          <w:szCs w:val="24"/>
        </w:rPr>
      </w:pPr>
      <w:r w:rsidRPr="00DC58B0">
        <w:rPr>
          <w:sz w:val="24"/>
          <w:szCs w:val="24"/>
        </w:rPr>
        <w:t xml:space="preserve">6. При нахождении эксперта в аудитории проведения итогового собеседования, его рабочее место определено в той части учебного кабинета, в которой участник итогового собеседования зрительно не может наблюдать (и, соответственно, отвлекаться) на процесс оценивания итогового собеседования. </w:t>
      </w:r>
    </w:p>
    <w:p w:rsidR="00C3506E" w:rsidRPr="00DC58B0" w:rsidRDefault="00C3506E" w:rsidP="00C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06E" w:rsidRPr="00DC58B0" w:rsidRDefault="00C3506E" w:rsidP="00C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06E" w:rsidRPr="00DC58B0" w:rsidRDefault="00C3506E" w:rsidP="00C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06E" w:rsidRPr="00DC58B0" w:rsidRDefault="00C3506E" w:rsidP="00C3506E">
      <w:pPr>
        <w:spacing w:line="240" w:lineRule="exact"/>
        <w:jc w:val="center"/>
        <w:rPr>
          <w:sz w:val="24"/>
          <w:szCs w:val="24"/>
        </w:rPr>
      </w:pPr>
    </w:p>
    <w:p w:rsidR="00C3506E" w:rsidRDefault="00C3506E" w:rsidP="00C3506E">
      <w:pPr>
        <w:tabs>
          <w:tab w:val="left" w:pos="318"/>
        </w:tabs>
        <w:spacing w:line="240" w:lineRule="exact"/>
        <w:jc w:val="both"/>
      </w:pPr>
    </w:p>
    <w:p w:rsidR="00C3506E" w:rsidRDefault="00C3506E" w:rsidP="00C3506E">
      <w:pPr>
        <w:tabs>
          <w:tab w:val="left" w:pos="318"/>
        </w:tabs>
        <w:spacing w:line="240" w:lineRule="exact"/>
        <w:jc w:val="both"/>
      </w:pPr>
    </w:p>
    <w:p w:rsidR="00C3506E" w:rsidRDefault="00C3506E" w:rsidP="00C3506E">
      <w:pPr>
        <w:tabs>
          <w:tab w:val="left" w:pos="318"/>
        </w:tabs>
        <w:spacing w:line="240" w:lineRule="exact"/>
        <w:jc w:val="both"/>
      </w:pPr>
    </w:p>
    <w:p w:rsidR="00C3506E" w:rsidRDefault="00C3506E" w:rsidP="00C3506E">
      <w:pPr>
        <w:tabs>
          <w:tab w:val="left" w:pos="318"/>
        </w:tabs>
        <w:spacing w:line="240" w:lineRule="exact"/>
        <w:jc w:val="both"/>
      </w:pPr>
    </w:p>
    <w:p w:rsidR="00C3506E" w:rsidRDefault="00C3506E" w:rsidP="00C3506E">
      <w:pPr>
        <w:tabs>
          <w:tab w:val="left" w:pos="318"/>
        </w:tabs>
        <w:spacing w:line="240" w:lineRule="exact"/>
        <w:jc w:val="both"/>
      </w:pPr>
    </w:p>
    <w:p w:rsidR="00C3506E" w:rsidRDefault="00C3506E" w:rsidP="00C3506E">
      <w:pPr>
        <w:tabs>
          <w:tab w:val="left" w:pos="318"/>
        </w:tabs>
        <w:spacing w:line="240" w:lineRule="exact"/>
        <w:jc w:val="both"/>
      </w:pPr>
    </w:p>
    <w:p w:rsidR="00C3506E" w:rsidRDefault="00C3506E" w:rsidP="00C3506E">
      <w:pPr>
        <w:tabs>
          <w:tab w:val="left" w:pos="318"/>
        </w:tabs>
        <w:spacing w:line="240" w:lineRule="exact"/>
        <w:jc w:val="both"/>
      </w:pPr>
    </w:p>
    <w:p w:rsidR="00C3506E" w:rsidRDefault="00C3506E" w:rsidP="00C3506E">
      <w:pPr>
        <w:tabs>
          <w:tab w:val="left" w:pos="318"/>
        </w:tabs>
        <w:spacing w:line="240" w:lineRule="exact"/>
        <w:jc w:val="both"/>
      </w:pPr>
    </w:p>
    <w:p w:rsidR="003828EE" w:rsidRDefault="003828EE"/>
    <w:sectPr w:rsidR="003828EE" w:rsidSect="00DC58B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3506E"/>
    <w:rsid w:val="000248E8"/>
    <w:rsid w:val="0009655D"/>
    <w:rsid w:val="00105F2B"/>
    <w:rsid w:val="002F6179"/>
    <w:rsid w:val="003828EE"/>
    <w:rsid w:val="00417C08"/>
    <w:rsid w:val="006251DB"/>
    <w:rsid w:val="00C3506E"/>
    <w:rsid w:val="00DC58B0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C58B0"/>
    <w:pPr>
      <w:keepNext/>
      <w:keepLines/>
      <w:overflowPunct/>
      <w:autoSpaceDE/>
      <w:autoSpaceDN/>
      <w:adjustRightInd/>
      <w:spacing w:line="240" w:lineRule="exact"/>
      <w:jc w:val="center"/>
      <w:textAlignment w:val="auto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8B0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350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annotation reference"/>
    <w:basedOn w:val="a0"/>
    <w:semiHidden/>
    <w:rsid w:val="00C3506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учитель</cp:lastModifiedBy>
  <cp:revision>2</cp:revision>
  <cp:lastPrinted>2019-02-12T16:55:00Z</cp:lastPrinted>
  <dcterms:created xsi:type="dcterms:W3CDTF">2019-02-14T06:37:00Z</dcterms:created>
  <dcterms:modified xsi:type="dcterms:W3CDTF">2019-02-14T06:37:00Z</dcterms:modified>
</cp:coreProperties>
</file>